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22A7" w14:textId="25EEBA24" w:rsidR="00B4629D" w:rsidRPr="00017635" w:rsidRDefault="00581A6C">
      <w:pPr>
        <w:rPr>
          <w:b/>
          <w:bCs/>
        </w:rPr>
      </w:pPr>
      <w:r w:rsidRPr="00017635">
        <w:rPr>
          <w:b/>
          <w:bCs/>
        </w:rPr>
        <w:t xml:space="preserve">Studieplan </w:t>
      </w:r>
      <w:r w:rsidR="00017635" w:rsidRPr="00017635">
        <w:rPr>
          <w:b/>
          <w:bCs/>
        </w:rPr>
        <w:t xml:space="preserve">seksualitet </w:t>
      </w:r>
      <w:r w:rsidR="00017635">
        <w:rPr>
          <w:b/>
          <w:bCs/>
        </w:rPr>
        <w:t xml:space="preserve">HHX og EUD </w:t>
      </w:r>
    </w:p>
    <w:p w14:paraId="09A2230E" w14:textId="0D8011AC" w:rsidR="00581A6C" w:rsidRPr="00581A6C" w:rsidRDefault="00581A6C" w:rsidP="00581A6C">
      <w:r w:rsidRPr="00581A6C">
        <w:t xml:space="preserve">Eleverne </w:t>
      </w:r>
      <w:r w:rsidR="00017635">
        <w:t xml:space="preserve">skal </w:t>
      </w:r>
      <w:r w:rsidRPr="00581A6C">
        <w:t xml:space="preserve">stifte bekendtskab med emner som fx samtykke, grænser, prævention og seksuelt overførbare sygdomme. </w:t>
      </w:r>
      <w:r w:rsidR="00017635">
        <w:br/>
      </w:r>
      <w:r w:rsidR="00017635">
        <w:br/>
        <w:t>Skolen er</w:t>
      </w:r>
      <w:r w:rsidRPr="00581A6C">
        <w:t xml:space="preserve"> forpligtet til, at undervisningen har et sådant omfang, at eleverne får tid til indsigt i emnerne og mulighed for at reflektere herover.</w:t>
      </w:r>
      <w:r w:rsidR="00017635">
        <w:br/>
      </w:r>
      <w:r w:rsidR="00017635">
        <w:br/>
      </w:r>
      <w:r w:rsidRPr="00581A6C">
        <w:t xml:space="preserve">Institutionerne skal i den enkelte klasses studieplan indføje, hvordan og hvornår der gennemføres seksualundervisning. </w:t>
      </w:r>
      <w:r w:rsidR="00017635">
        <w:t xml:space="preserve">Da alle skolens elever får undervisningen på samme tid, er studieplanen ens for alle klasser og offentliggøres på institutionens hjemmeside jf. krav. </w:t>
      </w:r>
      <w:r w:rsidR="00017635">
        <w:br/>
      </w:r>
    </w:p>
    <w:p w14:paraId="49F4F24D" w14:textId="77777777" w:rsidR="00581A6C" w:rsidRDefault="00581A6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6"/>
        <w:gridCol w:w="2072"/>
        <w:gridCol w:w="3074"/>
        <w:gridCol w:w="2356"/>
      </w:tblGrid>
      <w:tr w:rsidR="00A04BC4" w:rsidRPr="00A04BC4" w14:paraId="72C87A81" w14:textId="77777777" w:rsidTr="00A04BC4">
        <w:tc>
          <w:tcPr>
            <w:tcW w:w="2126" w:type="dxa"/>
          </w:tcPr>
          <w:p w14:paraId="04A11791" w14:textId="27EDD82F" w:rsidR="00581A6C" w:rsidRPr="00A04BC4" w:rsidRDefault="00581A6C">
            <w:pPr>
              <w:rPr>
                <w:b/>
                <w:bCs/>
              </w:rPr>
            </w:pPr>
            <w:r w:rsidRPr="00A04BC4">
              <w:rPr>
                <w:b/>
                <w:bCs/>
              </w:rPr>
              <w:t>Hvem undervises?</w:t>
            </w:r>
          </w:p>
        </w:tc>
        <w:tc>
          <w:tcPr>
            <w:tcW w:w="2072" w:type="dxa"/>
          </w:tcPr>
          <w:p w14:paraId="3311D272" w14:textId="24E6CBB1" w:rsidR="00581A6C" w:rsidRPr="00A04BC4" w:rsidRDefault="00581A6C">
            <w:pPr>
              <w:rPr>
                <w:b/>
                <w:bCs/>
              </w:rPr>
            </w:pPr>
            <w:r w:rsidRPr="00A04BC4">
              <w:rPr>
                <w:b/>
                <w:bCs/>
              </w:rPr>
              <w:t xml:space="preserve">Hvornår </w:t>
            </w:r>
          </w:p>
        </w:tc>
        <w:tc>
          <w:tcPr>
            <w:tcW w:w="3074" w:type="dxa"/>
          </w:tcPr>
          <w:p w14:paraId="4DC31ECE" w14:textId="6A8B587E" w:rsidR="00581A6C" w:rsidRPr="00A04BC4" w:rsidRDefault="00581A6C">
            <w:pPr>
              <w:rPr>
                <w:b/>
                <w:bCs/>
              </w:rPr>
            </w:pPr>
            <w:r w:rsidRPr="00A04BC4">
              <w:rPr>
                <w:b/>
                <w:bCs/>
              </w:rPr>
              <w:t>Hvem underviser?</w:t>
            </w:r>
          </w:p>
        </w:tc>
        <w:tc>
          <w:tcPr>
            <w:tcW w:w="2356" w:type="dxa"/>
          </w:tcPr>
          <w:p w14:paraId="518191F0" w14:textId="006E70E6" w:rsidR="00581A6C" w:rsidRPr="00A04BC4" w:rsidRDefault="00581A6C">
            <w:pPr>
              <w:rPr>
                <w:b/>
                <w:bCs/>
              </w:rPr>
            </w:pPr>
            <w:r w:rsidRPr="00A04BC4">
              <w:rPr>
                <w:b/>
                <w:bCs/>
              </w:rPr>
              <w:t>Hvilket område/r?</w:t>
            </w:r>
          </w:p>
        </w:tc>
      </w:tr>
      <w:tr w:rsidR="002F175E" w:rsidRPr="00A04BC4" w14:paraId="0035FD53" w14:textId="77777777" w:rsidTr="00A04BC4">
        <w:tc>
          <w:tcPr>
            <w:tcW w:w="2126" w:type="dxa"/>
          </w:tcPr>
          <w:p w14:paraId="4AA8BBB9" w14:textId="38481439" w:rsidR="002F175E" w:rsidRPr="00A04BC4" w:rsidRDefault="002F175E">
            <w:r w:rsidRPr="00A04BC4">
              <w:t xml:space="preserve">Alle elever </w:t>
            </w:r>
          </w:p>
        </w:tc>
        <w:tc>
          <w:tcPr>
            <w:tcW w:w="2072" w:type="dxa"/>
          </w:tcPr>
          <w:p w14:paraId="6EAB3C1A" w14:textId="501ACC12" w:rsidR="002F175E" w:rsidRPr="00A04BC4" w:rsidRDefault="002F175E">
            <w:r w:rsidRPr="00A04BC4">
              <w:t xml:space="preserve">28. november </w:t>
            </w:r>
            <w:r w:rsidR="00A04BC4" w:rsidRPr="00A04BC4">
              <w:t>2023</w:t>
            </w:r>
          </w:p>
          <w:p w14:paraId="0536085E" w14:textId="77777777" w:rsidR="002F175E" w:rsidRPr="00A04BC4" w:rsidRDefault="002F175E">
            <w:pPr>
              <w:rPr>
                <w:b/>
                <w:bCs/>
              </w:rPr>
            </w:pPr>
          </w:p>
          <w:p w14:paraId="607D3F22" w14:textId="77777777" w:rsidR="002F175E" w:rsidRPr="00A04BC4" w:rsidRDefault="002F175E">
            <w:pPr>
              <w:rPr>
                <w:b/>
                <w:bCs/>
              </w:rPr>
            </w:pPr>
          </w:p>
          <w:p w14:paraId="56D159CA" w14:textId="77777777" w:rsidR="002F175E" w:rsidRPr="00A04BC4" w:rsidRDefault="002F175E">
            <w:pPr>
              <w:rPr>
                <w:b/>
                <w:bCs/>
              </w:rPr>
            </w:pPr>
          </w:p>
          <w:p w14:paraId="46367EE6" w14:textId="77777777" w:rsidR="002F175E" w:rsidRPr="00A04BC4" w:rsidRDefault="002F175E">
            <w:pPr>
              <w:rPr>
                <w:b/>
                <w:bCs/>
              </w:rPr>
            </w:pPr>
          </w:p>
        </w:tc>
        <w:tc>
          <w:tcPr>
            <w:tcW w:w="3074" w:type="dxa"/>
          </w:tcPr>
          <w:p w14:paraId="491750DB" w14:textId="22C42043" w:rsidR="00A04BC4" w:rsidRPr="00A04BC4" w:rsidRDefault="00A04BC4">
            <w:r w:rsidRPr="00A04BC4">
              <w:t>En halv temadag.</w:t>
            </w:r>
          </w:p>
          <w:p w14:paraId="0E196B36" w14:textId="77777777" w:rsidR="00A04BC4" w:rsidRPr="00A04BC4" w:rsidRDefault="00A04BC4"/>
          <w:p w14:paraId="104F86BF" w14:textId="6228F2BB" w:rsidR="002F175E" w:rsidRPr="00A04BC4" w:rsidRDefault="002F175E">
            <w:r w:rsidRPr="00A04BC4">
              <w:t xml:space="preserve">Først gruppearbejde i klasserne om at </w:t>
            </w:r>
            <w:r w:rsidR="00A04BC4" w:rsidRPr="00A04BC4">
              <w:t>fællesskaber</w:t>
            </w:r>
            <w:r w:rsidRPr="00A04BC4">
              <w:t xml:space="preserve"> og at være ung ved kontaktlærer. </w:t>
            </w:r>
          </w:p>
          <w:p w14:paraId="3CF303C3" w14:textId="77777777" w:rsidR="00A04BC4" w:rsidRPr="00A04BC4" w:rsidRDefault="00A04BC4">
            <w:pPr>
              <w:rPr>
                <w:b/>
                <w:bCs/>
              </w:rPr>
            </w:pPr>
          </w:p>
          <w:p w14:paraId="0A7FF1F7" w14:textId="228202B9" w:rsidR="00A04BC4" w:rsidRPr="00A04BC4" w:rsidRDefault="00A04BC4" w:rsidP="00A04BC4">
            <w:pPr>
              <w:rPr>
                <w:b/>
                <w:bCs/>
              </w:rPr>
            </w:pPr>
            <w:r w:rsidRPr="00A04BC4">
              <w:t>Oplæg ved Julius Mygind om</w:t>
            </w:r>
            <w:r w:rsidRPr="00A04BC4">
              <w:rPr>
                <w:b/>
                <w:bCs/>
              </w:rPr>
              <w:br/>
            </w:r>
            <w:r w:rsidRPr="00A04BC4">
              <w:rPr>
                <w:i/>
                <w:iCs/>
              </w:rPr>
              <w:t>”</w:t>
            </w:r>
            <w:r w:rsidRPr="00A04BC4">
              <w:rPr>
                <w:i/>
                <w:iCs/>
              </w:rPr>
              <w:t>DU ikke f**ked</w:t>
            </w:r>
            <w:proofErr w:type="gramStart"/>
            <w:r w:rsidRPr="00A04BC4">
              <w:rPr>
                <w:i/>
                <w:iCs/>
              </w:rPr>
              <w:t xml:space="preserve"> ….</w:t>
            </w:r>
            <w:proofErr w:type="gramEnd"/>
            <w:r w:rsidRPr="00A04BC4">
              <w:rPr>
                <w:i/>
                <w:iCs/>
              </w:rPr>
              <w:t>D</w:t>
            </w:r>
            <w:r w:rsidRPr="00A04BC4">
              <w:rPr>
                <w:i/>
                <w:iCs/>
              </w:rPr>
              <w:t>U</w:t>
            </w:r>
            <w:r w:rsidRPr="00A04BC4">
              <w:rPr>
                <w:i/>
                <w:iCs/>
              </w:rPr>
              <w:t xml:space="preserve"> bare ung</w:t>
            </w:r>
            <w:r w:rsidRPr="00A04BC4">
              <w:rPr>
                <w:i/>
                <w:iCs/>
              </w:rPr>
              <w:t>”</w:t>
            </w:r>
          </w:p>
          <w:p w14:paraId="37FF93F3" w14:textId="69723E23" w:rsidR="002F175E" w:rsidRPr="00A04BC4" w:rsidRDefault="002F175E">
            <w:pPr>
              <w:rPr>
                <w:b/>
                <w:bCs/>
              </w:rPr>
            </w:pPr>
          </w:p>
          <w:p w14:paraId="21C47E1D" w14:textId="77777777" w:rsidR="00A04BC4" w:rsidRPr="00A04BC4" w:rsidRDefault="00A04BC4">
            <w:pPr>
              <w:rPr>
                <w:b/>
                <w:bCs/>
              </w:rPr>
            </w:pPr>
          </w:p>
          <w:p w14:paraId="0CB2C19F" w14:textId="77777777" w:rsidR="00A04BC4" w:rsidRDefault="00A04BC4">
            <w:r w:rsidRPr="00A04BC4">
              <w:t>Dette foredrag har fokus på udfordringer med skole, trivsel, selvværd og selvtillid, fremtidsbekymringer</w:t>
            </w:r>
            <w:proofErr w:type="gramStart"/>
            <w:r w:rsidRPr="00A04BC4">
              <w:t>, ,</w:t>
            </w:r>
            <w:proofErr w:type="gramEnd"/>
            <w:r w:rsidRPr="00A04BC4">
              <w:t xml:space="preserve"> første kæreste samt mødet med sex og stoffer.</w:t>
            </w:r>
          </w:p>
          <w:p w14:paraId="33AF1D77" w14:textId="0A26E4AC" w:rsidR="00A04BC4" w:rsidRPr="00A04BC4" w:rsidRDefault="00A04BC4">
            <w:pPr>
              <w:rPr>
                <w:b/>
                <w:bCs/>
              </w:rPr>
            </w:pPr>
          </w:p>
        </w:tc>
        <w:tc>
          <w:tcPr>
            <w:tcW w:w="2356" w:type="dxa"/>
          </w:tcPr>
          <w:p w14:paraId="600A24E3" w14:textId="458ECCD5" w:rsidR="002F175E" w:rsidRPr="00A04BC4" w:rsidRDefault="00A04BC4">
            <w:r w:rsidRPr="00A04BC4">
              <w:t xml:space="preserve">Mødet med Sex </w:t>
            </w:r>
            <w:r w:rsidR="002F175E" w:rsidRPr="00A04BC4">
              <w:br/>
            </w:r>
            <w:r w:rsidRPr="00A04BC4">
              <w:t xml:space="preserve">Dette foredrag har fokus på udfordringer med skole, </w:t>
            </w:r>
            <w:r w:rsidRPr="00A04BC4">
              <w:t>t</w:t>
            </w:r>
            <w:r w:rsidRPr="00A04BC4">
              <w:t xml:space="preserve">rivsel, selvværd og selvtillid, fremtidsbekymringer, </w:t>
            </w:r>
            <w:r w:rsidRPr="00A04BC4">
              <w:t xml:space="preserve">første kæreste </w:t>
            </w:r>
            <w:r w:rsidRPr="00A04BC4">
              <w:t>samt mødet med sex og stoffer.</w:t>
            </w:r>
            <w:r w:rsidRPr="00A04BC4">
              <w:rPr>
                <w:b/>
                <w:bCs/>
              </w:rPr>
              <w:t xml:space="preserve"> </w:t>
            </w:r>
          </w:p>
        </w:tc>
      </w:tr>
      <w:tr w:rsidR="00A04BC4" w:rsidRPr="00A04BC4" w14:paraId="05CDCD17" w14:textId="77777777" w:rsidTr="00A04BC4">
        <w:tc>
          <w:tcPr>
            <w:tcW w:w="2126" w:type="dxa"/>
          </w:tcPr>
          <w:p w14:paraId="10108A4C" w14:textId="1F2092E5" w:rsidR="00581A6C" w:rsidRPr="00A04BC4" w:rsidRDefault="00581A6C">
            <w:r w:rsidRPr="00A04BC4">
              <w:t xml:space="preserve">Alle elever </w:t>
            </w:r>
          </w:p>
        </w:tc>
        <w:tc>
          <w:tcPr>
            <w:tcW w:w="2072" w:type="dxa"/>
          </w:tcPr>
          <w:p w14:paraId="65963A95" w14:textId="3D6AD165" w:rsidR="00581A6C" w:rsidRPr="00A04BC4" w:rsidRDefault="00581A6C">
            <w:r w:rsidRPr="00A04BC4">
              <w:t xml:space="preserve">21. marts 2024 </w:t>
            </w:r>
          </w:p>
        </w:tc>
        <w:tc>
          <w:tcPr>
            <w:tcW w:w="3074" w:type="dxa"/>
          </w:tcPr>
          <w:p w14:paraId="2CA7F873" w14:textId="77777777" w:rsidR="00581A6C" w:rsidRPr="00A04BC4" w:rsidRDefault="00581A6C">
            <w:r w:rsidRPr="00A04BC4">
              <w:t>Oplæg ved Emma Holten om ”</w:t>
            </w:r>
            <w:r w:rsidRPr="00A04BC4">
              <w:rPr>
                <w:i/>
                <w:iCs/>
              </w:rPr>
              <w:t>Internetrettigheder og overgreb”</w:t>
            </w:r>
            <w:r w:rsidRPr="00A04BC4">
              <w:t xml:space="preserve"> </w:t>
            </w:r>
            <w:r w:rsidRPr="00A04BC4">
              <w:br/>
            </w:r>
          </w:p>
          <w:p w14:paraId="07AE2307" w14:textId="2BD33669" w:rsidR="00581A6C" w:rsidRPr="00A04BC4" w:rsidRDefault="00581A6C">
            <w:r w:rsidRPr="00A04BC4">
              <w:t xml:space="preserve">Klassevis arbejde med internetrettigheder </w:t>
            </w:r>
            <w:hyperlink r:id="rId4" w:history="1">
              <w:r w:rsidRPr="00A04BC4">
                <w:rPr>
                  <w:rStyle w:val="Hyperlink"/>
                </w:rPr>
                <w:t>https://digitaldannelse.org/uv-materialer/graensesaetning/</w:t>
              </w:r>
            </w:hyperlink>
          </w:p>
          <w:p w14:paraId="7A08A033" w14:textId="77777777" w:rsidR="00581A6C" w:rsidRPr="00A04BC4" w:rsidRDefault="00581A6C"/>
          <w:p w14:paraId="4F525014" w14:textId="2D132AC3" w:rsidR="00581A6C" w:rsidRPr="00A04BC4" w:rsidRDefault="00581A6C" w:rsidP="00581A6C"/>
        </w:tc>
        <w:tc>
          <w:tcPr>
            <w:tcW w:w="2356" w:type="dxa"/>
          </w:tcPr>
          <w:p w14:paraId="23D6E2F6" w14:textId="584FD22D" w:rsidR="00581A6C" w:rsidRPr="00A04BC4" w:rsidRDefault="00581A6C">
            <w:r w:rsidRPr="00A04BC4">
              <w:t xml:space="preserve">Grænser og samtykke </w:t>
            </w:r>
          </w:p>
        </w:tc>
      </w:tr>
      <w:tr w:rsidR="00A04BC4" w:rsidRPr="00A04BC4" w14:paraId="7B972F37" w14:textId="77777777" w:rsidTr="00A04BC4">
        <w:tc>
          <w:tcPr>
            <w:tcW w:w="2126" w:type="dxa"/>
          </w:tcPr>
          <w:p w14:paraId="4341970A" w14:textId="09F3F71F" w:rsidR="00581A6C" w:rsidRPr="00A04BC4" w:rsidRDefault="00581A6C">
            <w:r w:rsidRPr="00A04BC4">
              <w:t xml:space="preserve">Alle elever </w:t>
            </w:r>
          </w:p>
        </w:tc>
        <w:tc>
          <w:tcPr>
            <w:tcW w:w="2072" w:type="dxa"/>
          </w:tcPr>
          <w:p w14:paraId="464C3080" w14:textId="60C37063" w:rsidR="00581A6C" w:rsidRPr="00A04BC4" w:rsidRDefault="00581A6C">
            <w:r w:rsidRPr="00A04BC4">
              <w:t xml:space="preserve">25. september 2024 </w:t>
            </w:r>
          </w:p>
        </w:tc>
        <w:tc>
          <w:tcPr>
            <w:tcW w:w="3074" w:type="dxa"/>
          </w:tcPr>
          <w:p w14:paraId="7B226E08" w14:textId="77777777" w:rsidR="00581A6C" w:rsidRPr="00A04BC4" w:rsidRDefault="00581A6C">
            <w:r w:rsidRPr="00A04BC4">
              <w:t xml:space="preserve">Hel temadag om kroppen </w:t>
            </w:r>
          </w:p>
          <w:p w14:paraId="33130B10" w14:textId="77777777" w:rsidR="00581A6C" w:rsidRPr="00A04BC4" w:rsidRDefault="00581A6C"/>
          <w:p w14:paraId="1F418178" w14:textId="2A03D7FC" w:rsidR="00581A6C" w:rsidRPr="00A04BC4" w:rsidRDefault="00581A6C">
            <w:r w:rsidRPr="00A04BC4">
              <w:t xml:space="preserve">Herunder: </w:t>
            </w:r>
            <w:r w:rsidRPr="00A04BC4">
              <w:br/>
            </w:r>
            <w:proofErr w:type="spellStart"/>
            <w:r w:rsidRPr="00A04BC4">
              <w:t>Pærfekt</w:t>
            </w:r>
            <w:proofErr w:type="spellEnd"/>
            <w:r w:rsidRPr="00A04BC4">
              <w:t xml:space="preserve"> Croquis</w:t>
            </w:r>
          </w:p>
          <w:p w14:paraId="2955FAA7" w14:textId="77777777" w:rsidR="00581A6C" w:rsidRPr="00A04BC4" w:rsidRDefault="00581A6C"/>
          <w:p w14:paraId="272E812C" w14:textId="70819EAF" w:rsidR="00581A6C" w:rsidRPr="00581A6C" w:rsidRDefault="00581A6C" w:rsidP="00581A6C">
            <w:r w:rsidRPr="00581A6C">
              <w:lastRenderedPageBreak/>
              <w:t>Opgør med det perfekte helvede</w:t>
            </w:r>
            <w:r w:rsidRPr="00A04BC4">
              <w:t>.</w:t>
            </w:r>
          </w:p>
          <w:p w14:paraId="131F97DC" w14:textId="77777777" w:rsidR="00581A6C" w:rsidRPr="00A04BC4" w:rsidRDefault="00581A6C" w:rsidP="00581A6C">
            <w:r w:rsidRPr="00581A6C">
              <w:t xml:space="preserve">Det seneste år har ord som nulfejlskultur, perfekthed og </w:t>
            </w:r>
            <w:proofErr w:type="spellStart"/>
            <w:r w:rsidRPr="00581A6C">
              <w:t>tolvtals-piger</w:t>
            </w:r>
            <w:proofErr w:type="spellEnd"/>
            <w:r w:rsidRPr="00581A6C">
              <w:t xml:space="preserve"> været meget debatteret. </w:t>
            </w:r>
            <w:r w:rsidRPr="00A04BC4">
              <w:br/>
            </w:r>
          </w:p>
          <w:p w14:paraId="3E1E465B" w14:textId="416F07F3" w:rsidR="00581A6C" w:rsidRPr="00581A6C" w:rsidRDefault="00581A6C" w:rsidP="00581A6C">
            <w:r w:rsidRPr="00581A6C">
              <w:t xml:space="preserve">Ønsket om det perfekte liv går på tværs af alder, køn, handicap – og det gør angsten omkring perfektheden også. </w:t>
            </w:r>
            <w:r w:rsidRPr="00A04BC4">
              <w:br/>
            </w:r>
            <w:r w:rsidRPr="00A04BC4">
              <w:br/>
            </w:r>
            <w:r w:rsidRPr="00581A6C">
              <w:t xml:space="preserve">Muskelsvindfonden ønsker et opgør med perfektheden, og derfor har vi lavet </w:t>
            </w:r>
            <w:proofErr w:type="spellStart"/>
            <w:r w:rsidRPr="00581A6C">
              <w:t>Pærfekt</w:t>
            </w:r>
            <w:proofErr w:type="spellEnd"/>
            <w:r w:rsidRPr="00581A6C">
              <w:t>.</w:t>
            </w:r>
          </w:p>
          <w:p w14:paraId="2A7DF4F1" w14:textId="77777777" w:rsidR="00581A6C" w:rsidRPr="00581A6C" w:rsidRDefault="00581A6C" w:rsidP="00581A6C">
            <w:r w:rsidRPr="00581A6C">
              <w:t xml:space="preserve">Den </w:t>
            </w:r>
            <w:proofErr w:type="spellStart"/>
            <w:r w:rsidRPr="00581A6C">
              <w:t>Pærfekte</w:t>
            </w:r>
            <w:proofErr w:type="spellEnd"/>
            <w:r w:rsidRPr="00581A6C">
              <w:t xml:space="preserve"> folkebevægelse</w:t>
            </w:r>
          </w:p>
          <w:p w14:paraId="3D2A79E6" w14:textId="2537BB50" w:rsidR="00581A6C" w:rsidRPr="00581A6C" w:rsidRDefault="00581A6C" w:rsidP="00581A6C">
            <w:r w:rsidRPr="00581A6C">
              <w:t xml:space="preserve">Det er Muskelsvindfondens ambition at starte en </w:t>
            </w:r>
            <w:proofErr w:type="spellStart"/>
            <w:r w:rsidRPr="00581A6C">
              <w:t>Pærfekt</w:t>
            </w:r>
            <w:proofErr w:type="spellEnd"/>
            <w:r w:rsidRPr="00581A6C">
              <w:t xml:space="preserve"> folkebevægelse, hvor mennesker tør stå frem og være uperfekte sammen</w:t>
            </w:r>
          </w:p>
          <w:p w14:paraId="219336D0" w14:textId="71018EAC" w:rsidR="00581A6C" w:rsidRPr="00A04BC4" w:rsidRDefault="00581A6C" w:rsidP="00581A6C">
            <w:r w:rsidRPr="00581A6C">
              <w:t xml:space="preserve">Ingen er perfekte, og det er i virkeligheden helt </w:t>
            </w:r>
            <w:proofErr w:type="spellStart"/>
            <w:r w:rsidRPr="00581A6C">
              <w:t>Pærfekt</w:t>
            </w:r>
            <w:proofErr w:type="spellEnd"/>
            <w:r w:rsidRPr="00581A6C">
              <w:t xml:space="preserve">. </w:t>
            </w:r>
            <w:hyperlink r:id="rId5" w:history="1">
              <w:r w:rsidR="00017635" w:rsidRPr="00581A6C">
                <w:rPr>
                  <w:rStyle w:val="Hyperlink"/>
                </w:rPr>
                <w:t>https://xn--prfekt-pua.dk/</w:t>
              </w:r>
            </w:hyperlink>
          </w:p>
          <w:p w14:paraId="6E6A4DD0" w14:textId="77777777" w:rsidR="00017635" w:rsidRPr="00581A6C" w:rsidRDefault="00017635" w:rsidP="00581A6C"/>
          <w:p w14:paraId="73ED7E7B" w14:textId="3B5038D2" w:rsidR="00581A6C" w:rsidRPr="00A04BC4" w:rsidRDefault="00581A6C"/>
        </w:tc>
        <w:tc>
          <w:tcPr>
            <w:tcW w:w="2356" w:type="dxa"/>
          </w:tcPr>
          <w:p w14:paraId="791A28AB" w14:textId="4827FD09" w:rsidR="00581A6C" w:rsidRPr="00A04BC4" w:rsidRDefault="00581A6C">
            <w:r w:rsidRPr="00A04BC4">
              <w:lastRenderedPageBreak/>
              <w:t xml:space="preserve">Køn, krop og seksualitet </w:t>
            </w:r>
          </w:p>
        </w:tc>
      </w:tr>
      <w:tr w:rsidR="00A04BC4" w:rsidRPr="00A04BC4" w14:paraId="4246DAB3" w14:textId="77777777" w:rsidTr="00A04BC4">
        <w:tc>
          <w:tcPr>
            <w:tcW w:w="2126" w:type="dxa"/>
          </w:tcPr>
          <w:p w14:paraId="71FB3E00" w14:textId="0AEAE8F6" w:rsidR="00581A6C" w:rsidRPr="00A04BC4" w:rsidRDefault="00017635">
            <w:r w:rsidRPr="00A04BC4">
              <w:t xml:space="preserve">Alle </w:t>
            </w:r>
          </w:p>
        </w:tc>
        <w:tc>
          <w:tcPr>
            <w:tcW w:w="2072" w:type="dxa"/>
          </w:tcPr>
          <w:p w14:paraId="4E866AEE" w14:textId="4E7E47AF" w:rsidR="00581A6C" w:rsidRPr="00A04BC4" w:rsidRDefault="00017635">
            <w:r w:rsidRPr="00A04BC4">
              <w:t xml:space="preserve">Efterår 2025 </w:t>
            </w:r>
          </w:p>
        </w:tc>
        <w:tc>
          <w:tcPr>
            <w:tcW w:w="3074" w:type="dxa"/>
          </w:tcPr>
          <w:p w14:paraId="01D424BD" w14:textId="77777777" w:rsidR="00581A6C" w:rsidRPr="00A04BC4" w:rsidRDefault="00581A6C"/>
          <w:p w14:paraId="7997272C" w14:textId="77777777" w:rsidR="00017635" w:rsidRPr="00A04BC4" w:rsidRDefault="00017635"/>
          <w:p w14:paraId="7FB6F726" w14:textId="77777777" w:rsidR="00017635" w:rsidRPr="00A04BC4" w:rsidRDefault="00017635"/>
          <w:p w14:paraId="5C9CC828" w14:textId="77777777" w:rsidR="00017635" w:rsidRPr="00A04BC4" w:rsidRDefault="00017635"/>
          <w:p w14:paraId="15C0F9B7" w14:textId="77777777" w:rsidR="00017635" w:rsidRPr="00A04BC4" w:rsidRDefault="00017635"/>
        </w:tc>
        <w:tc>
          <w:tcPr>
            <w:tcW w:w="2356" w:type="dxa"/>
          </w:tcPr>
          <w:p w14:paraId="27389F60" w14:textId="54A6F719" w:rsidR="00581A6C" w:rsidRPr="00A04BC4" w:rsidRDefault="00017635">
            <w:r w:rsidRPr="00A04BC4">
              <w:t>P</w:t>
            </w:r>
            <w:r w:rsidRPr="00581A6C">
              <w:t>rævention og seksuelt overførbare sygdomme</w:t>
            </w:r>
          </w:p>
        </w:tc>
      </w:tr>
    </w:tbl>
    <w:p w14:paraId="10DF6C76" w14:textId="77777777" w:rsidR="00581A6C" w:rsidRPr="00A04BC4" w:rsidRDefault="00581A6C"/>
    <w:sectPr w:rsidR="00581A6C" w:rsidRPr="00A04B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6C"/>
    <w:rsid w:val="000056AD"/>
    <w:rsid w:val="00017635"/>
    <w:rsid w:val="00192260"/>
    <w:rsid w:val="002F175E"/>
    <w:rsid w:val="00560A66"/>
    <w:rsid w:val="00581A6C"/>
    <w:rsid w:val="00A04BC4"/>
    <w:rsid w:val="00B4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6B4B"/>
  <w15:chartTrackingRefBased/>
  <w15:docId w15:val="{1C4D5910-61C0-420B-980C-FFBB245E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1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1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1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1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1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1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1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1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1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1A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1A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1A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1A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1A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1A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1A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1A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1A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1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1A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1A6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8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81A6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81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prfekt-pua.dk/" TargetMode="External"/><Relationship Id="rId4" Type="http://schemas.openxmlformats.org/officeDocument/2006/relationships/hyperlink" Target="https://digitaldannelse.org/uv-materialer/graensesaet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Jakobsson</dc:creator>
  <cp:keywords/>
  <dc:description/>
  <cp:lastModifiedBy>Ann Jakobsson</cp:lastModifiedBy>
  <cp:revision>3</cp:revision>
  <dcterms:created xsi:type="dcterms:W3CDTF">2025-02-09T21:47:00Z</dcterms:created>
  <dcterms:modified xsi:type="dcterms:W3CDTF">2025-02-09T21:59:00Z</dcterms:modified>
</cp:coreProperties>
</file>